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9A17AF" w:rsidP="009A17AF">
      <w:pPr>
        <w:jc w:val="center"/>
        <w:rPr>
          <w:rFonts w:hint="eastAsia"/>
          <w:b/>
          <w:sz w:val="28"/>
          <w:szCs w:val="28"/>
        </w:rPr>
      </w:pPr>
      <w:r w:rsidRPr="009A17AF">
        <w:rPr>
          <w:rFonts w:hint="eastAsia"/>
          <w:b/>
          <w:sz w:val="28"/>
          <w:szCs w:val="28"/>
        </w:rPr>
        <w:t>实验中医学（二）（</w:t>
      </w:r>
      <w:r w:rsidRPr="009A17AF">
        <w:rPr>
          <w:rFonts w:hint="eastAsia"/>
          <w:b/>
          <w:sz w:val="28"/>
          <w:szCs w:val="28"/>
        </w:rPr>
        <w:t>01.211.0.2</w:t>
      </w:r>
      <w:r w:rsidRPr="009A17AF">
        <w:rPr>
          <w:rFonts w:hint="eastAsia"/>
          <w:b/>
          <w:sz w:val="28"/>
          <w:szCs w:val="28"/>
        </w:rPr>
        <w:t>）</w:t>
      </w:r>
    </w:p>
    <w:p w:rsidR="009A17AF" w:rsidRDefault="009A17AF" w:rsidP="009A17AF">
      <w:pPr>
        <w:ind w:right="120" w:firstLine="320"/>
        <w:jc w:val="left"/>
        <w:rPr>
          <w:rFonts w:ascii="宋体" w:hAnsi="宋体"/>
        </w:rPr>
      </w:pPr>
      <w:r>
        <w:rPr>
          <w:rFonts w:ascii="宋体" w:hAnsi="宋体"/>
        </w:rPr>
        <w:t>“实验中医学（二）”（又名“中医学综合实验”），是在“实验中医学（一）”理论培训的基础上，进一步培养学生独立、综合运用多种实验方法开展中医课题研究能力的一门课程，是中医基础学科的重要课程之一。</w:t>
      </w:r>
    </w:p>
    <w:p w:rsidR="009A17AF" w:rsidRDefault="009A17AF" w:rsidP="009A17AF">
      <w:pPr>
        <w:jc w:val="left"/>
        <w:rPr>
          <w:rFonts w:ascii="Times New Roman" w:eastAsia="Times New Roman" w:hAnsi="Times New Roman"/>
        </w:rPr>
      </w:pPr>
    </w:p>
    <w:p w:rsidR="009A17AF" w:rsidRDefault="009A17AF" w:rsidP="009A17AF">
      <w:pPr>
        <w:ind w:firstLine="425"/>
        <w:jc w:val="left"/>
        <w:rPr>
          <w:rFonts w:ascii="宋体" w:hAnsi="宋体"/>
        </w:rPr>
      </w:pPr>
      <w:r>
        <w:rPr>
          <w:rFonts w:ascii="宋体" w:hAnsi="宋体"/>
        </w:rPr>
        <w:t>本课程是“实验中医学”系列课程之一，采用《中医学综合实验》教材，教材共分</w:t>
      </w:r>
      <w:r>
        <w:rPr>
          <w:rFonts w:ascii="Times New Roman" w:eastAsia="Times New Roman" w:hAnsi="Times New Roman"/>
        </w:rPr>
        <w:t xml:space="preserve"> 6 </w:t>
      </w:r>
      <w:proofErr w:type="gramStart"/>
      <w:r>
        <w:rPr>
          <w:rFonts w:ascii="宋体" w:hAnsi="宋体"/>
        </w:rPr>
        <w:t>个</w:t>
      </w:r>
      <w:proofErr w:type="gramEnd"/>
      <w:r>
        <w:rPr>
          <w:rFonts w:ascii="宋体" w:hAnsi="宋体"/>
        </w:rPr>
        <w:t>部分（：</w:t>
      </w:r>
      <w:r>
        <w:rPr>
          <w:rFonts w:ascii="Times New Roman" w:eastAsia="Times New Roman" w:hAnsi="Times New Roman"/>
        </w:rPr>
        <w:t>1</w:t>
      </w:r>
      <w:r>
        <w:rPr>
          <w:rFonts w:ascii="宋体" w:hAnsi="宋体"/>
        </w:rPr>
        <w:t>）绪论，包括中医学综合实验的性质、内容和目的，中医学综合实验的课程沿革，以及学习中医学综合实验的注意事项；（</w:t>
      </w:r>
      <w:r>
        <w:rPr>
          <w:rFonts w:ascii="Times New Roman" w:eastAsia="Times New Roman" w:hAnsi="Times New Roman"/>
        </w:rPr>
        <w:t>2</w:t>
      </w:r>
      <w:r>
        <w:rPr>
          <w:rFonts w:ascii="宋体" w:hAnsi="宋体"/>
        </w:rPr>
        <w:t>）选题、假说与实验设计，包括</w:t>
      </w:r>
      <w:r>
        <w:rPr>
          <w:rFonts w:ascii="Times New Roman" w:eastAsia="Times New Roman" w:hAnsi="Times New Roman"/>
        </w:rPr>
        <w:t xml:space="preserve"> PBL </w:t>
      </w:r>
      <w:r>
        <w:rPr>
          <w:rFonts w:ascii="宋体" w:hAnsi="宋体"/>
        </w:rPr>
        <w:t>及评判性阅读的团队学习，以及案例教学及选题、假说、实验设计（；</w:t>
      </w:r>
      <w:r>
        <w:rPr>
          <w:rFonts w:ascii="Times New Roman" w:eastAsia="Times New Roman" w:hAnsi="Times New Roman"/>
        </w:rPr>
        <w:t>3</w:t>
      </w:r>
      <w:r>
        <w:rPr>
          <w:rFonts w:ascii="宋体" w:hAnsi="宋体"/>
        </w:rPr>
        <w:t>）实验准备与实验实施，包括实验技术培训、实验准备、实验实施、实验数据处理与分析（；</w:t>
      </w:r>
      <w:r>
        <w:rPr>
          <w:rFonts w:ascii="Times New Roman" w:eastAsia="Times New Roman" w:hAnsi="Times New Roman"/>
        </w:rPr>
        <w:t>4</w:t>
      </w:r>
      <w:r>
        <w:rPr>
          <w:rFonts w:ascii="宋体" w:hAnsi="宋体"/>
        </w:rPr>
        <w:t>）实验指导，包括小鼠诊法检测与辨证方法实验指导、乙酰苯肼血虚证小鼠造模实验指导、中药水煎醇沉制备实验指导、灌胃实验指导、血红蛋白测定实验指导、血清总抗氧化能力测定实验指导、肾脏</w:t>
      </w:r>
      <w:r>
        <w:rPr>
          <w:rFonts w:ascii="Times New Roman" w:eastAsia="Times New Roman" w:hAnsi="Times New Roman"/>
        </w:rPr>
        <w:t xml:space="preserve"> EPO </w:t>
      </w:r>
      <w:r>
        <w:rPr>
          <w:rFonts w:ascii="宋体" w:hAnsi="宋体"/>
        </w:rPr>
        <w:t>实时荧光定量</w:t>
      </w:r>
      <w:r>
        <w:rPr>
          <w:rFonts w:ascii="Times New Roman" w:eastAsia="Times New Roman" w:hAnsi="Times New Roman"/>
        </w:rPr>
        <w:t xml:space="preserve"> PCR </w:t>
      </w:r>
      <w:r>
        <w:rPr>
          <w:rFonts w:ascii="宋体" w:hAnsi="宋体"/>
        </w:rPr>
        <w:t>实验指导、骨髓涂片和血涂片的制作与读片指导、病理组织切片制作与读片指导；（</w:t>
      </w:r>
      <w:r>
        <w:rPr>
          <w:rFonts w:ascii="Times New Roman" w:eastAsia="Times New Roman" w:hAnsi="Times New Roman"/>
        </w:rPr>
        <w:t>5</w:t>
      </w:r>
      <w:r>
        <w:rPr>
          <w:rFonts w:ascii="宋体" w:hAnsi="宋体"/>
        </w:rPr>
        <w:t>）实验结果通报与模拟答辩；（</w:t>
      </w:r>
      <w:r>
        <w:rPr>
          <w:rFonts w:ascii="Times New Roman" w:eastAsia="Times New Roman" w:hAnsi="Times New Roman"/>
        </w:rPr>
        <w:t>6</w:t>
      </w:r>
      <w:r>
        <w:rPr>
          <w:rFonts w:ascii="宋体" w:hAnsi="宋体"/>
        </w:rPr>
        <w:t>）撰写实验报告；以及附录。</w:t>
      </w:r>
    </w:p>
    <w:p w:rsidR="009A17AF" w:rsidRDefault="009A17AF" w:rsidP="009A17AF">
      <w:pPr>
        <w:jc w:val="left"/>
        <w:rPr>
          <w:rFonts w:ascii="Times New Roman" w:eastAsia="Times New Roman" w:hAnsi="Times New Roman"/>
        </w:rPr>
      </w:pPr>
    </w:p>
    <w:p w:rsidR="009A17AF" w:rsidRDefault="009A17AF" w:rsidP="009A17AF">
      <w:pPr>
        <w:ind w:right="120" w:firstLine="425"/>
        <w:jc w:val="left"/>
        <w:rPr>
          <w:rFonts w:ascii="宋体" w:hAnsi="宋体"/>
        </w:rPr>
      </w:pPr>
      <w:r>
        <w:rPr>
          <w:rFonts w:ascii="宋体" w:hAnsi="宋体"/>
        </w:rPr>
        <w:t>本课程主要授课对象为中医基础专业、临床八年制专业学生，亦适用于其它专业，包括研究生选修或辅修本课程的学生。</w:t>
      </w:r>
    </w:p>
    <w:p w:rsidR="009A17AF" w:rsidRDefault="009A17AF" w:rsidP="009A17AF">
      <w:pPr>
        <w:jc w:val="left"/>
        <w:rPr>
          <w:rFonts w:ascii="Times New Roman" w:eastAsia="Times New Roman" w:hAnsi="Times New Roman"/>
        </w:rPr>
      </w:pPr>
    </w:p>
    <w:p w:rsidR="009A17AF" w:rsidRDefault="009A17AF" w:rsidP="009A17AF">
      <w:pPr>
        <w:ind w:right="120" w:firstLine="425"/>
        <w:jc w:val="left"/>
        <w:rPr>
          <w:rFonts w:ascii="Times New Roman" w:eastAsia="Times New Roman" w:hAnsi="Times New Roman"/>
        </w:rPr>
      </w:pPr>
      <w:r>
        <w:rPr>
          <w:rFonts w:ascii="Times New Roman" w:eastAsia="Times New Roman" w:hAnsi="Times New Roman"/>
        </w:rPr>
        <w:t>Experimental Traditional Chinese Medicine (</w:t>
      </w:r>
      <w:proofErr w:type="spellStart"/>
      <w:r>
        <w:rPr>
          <w:rFonts w:ascii="Times New Roman" w:eastAsia="Times New Roman" w:hAnsi="Times New Roman"/>
        </w:rPr>
        <w:t>Experimantal</w:t>
      </w:r>
      <w:proofErr w:type="spellEnd"/>
      <w:r>
        <w:rPr>
          <w:rFonts w:ascii="Times New Roman" w:eastAsia="Times New Roman" w:hAnsi="Times New Roman"/>
        </w:rPr>
        <w:t xml:space="preserve"> TCM) 2 (also called Comprehensive Experiment of TCM) is one important course of base subjects of TCM. It is based on the theory training of Experimental TCM 1 and it aims to train the </w:t>
      </w:r>
      <w:proofErr w:type="spellStart"/>
      <w:r>
        <w:rPr>
          <w:rFonts w:ascii="Times New Roman" w:eastAsia="Times New Roman" w:hAnsi="Times New Roman"/>
        </w:rPr>
        <w:t>students</w:t>
      </w:r>
      <w:r>
        <w:rPr>
          <w:rFonts w:ascii="宋体" w:hAnsi="宋体"/>
        </w:rPr>
        <w:t>’</w:t>
      </w:r>
      <w:r>
        <w:rPr>
          <w:rFonts w:ascii="Times New Roman" w:eastAsia="Times New Roman" w:hAnsi="Times New Roman"/>
        </w:rPr>
        <w:t>abilities</w:t>
      </w:r>
      <w:proofErr w:type="spellEnd"/>
      <w:r>
        <w:rPr>
          <w:rFonts w:ascii="Times New Roman" w:eastAsia="Times New Roman" w:hAnsi="Times New Roman"/>
        </w:rPr>
        <w:t xml:space="preserve"> of developing research of TCM by using a variety of experimental methods independently and </w:t>
      </w:r>
      <w:proofErr w:type="spellStart"/>
      <w:r>
        <w:rPr>
          <w:rFonts w:ascii="Times New Roman" w:eastAsia="Times New Roman" w:hAnsi="Times New Roman"/>
        </w:rPr>
        <w:t>integratedly</w:t>
      </w:r>
      <w:proofErr w:type="spellEnd"/>
      <w:r>
        <w:rPr>
          <w:rFonts w:ascii="Times New Roman" w:eastAsia="Times New Roman" w:hAnsi="Times New Roman"/>
        </w:rPr>
        <w:t>.</w:t>
      </w:r>
    </w:p>
    <w:p w:rsidR="009A17AF" w:rsidRDefault="009A17AF" w:rsidP="009A17AF">
      <w:pPr>
        <w:jc w:val="left"/>
        <w:rPr>
          <w:rFonts w:ascii="Times New Roman" w:eastAsia="Times New Roman" w:hAnsi="Times New Roman"/>
        </w:rPr>
      </w:pPr>
    </w:p>
    <w:p w:rsidR="009A17AF" w:rsidRDefault="009A17AF" w:rsidP="009A17AF">
      <w:pPr>
        <w:ind w:right="100" w:firstLine="425"/>
        <w:jc w:val="left"/>
        <w:rPr>
          <w:rFonts w:ascii="Times New Roman" w:eastAsia="Times New Roman" w:hAnsi="Times New Roman"/>
        </w:rPr>
      </w:pPr>
      <w:r>
        <w:rPr>
          <w:rFonts w:ascii="Times New Roman" w:eastAsia="Times New Roman" w:hAnsi="Times New Roman"/>
        </w:rPr>
        <w:t xml:space="preserve">This course is one of the Experimental TCM series of courses. </w:t>
      </w:r>
      <w:proofErr w:type="spellStart"/>
      <w:r>
        <w:rPr>
          <w:rFonts w:ascii="Times New Roman" w:eastAsia="Times New Roman" w:hAnsi="Times New Roman"/>
        </w:rPr>
        <w:t>The</w:t>
      </w:r>
      <w:r>
        <w:rPr>
          <w:rFonts w:ascii="宋体" w:hAnsi="宋体"/>
        </w:rPr>
        <w:t>“</w:t>
      </w:r>
      <w:r>
        <w:rPr>
          <w:rFonts w:ascii="Times New Roman" w:eastAsia="Times New Roman" w:hAnsi="Times New Roman"/>
        </w:rPr>
        <w:t>Comprehensive</w:t>
      </w:r>
      <w:proofErr w:type="spellEnd"/>
      <w:r>
        <w:rPr>
          <w:rFonts w:ascii="Times New Roman" w:eastAsia="Times New Roman" w:hAnsi="Times New Roman"/>
        </w:rPr>
        <w:t xml:space="preserve"> Experiment of </w:t>
      </w:r>
      <w:proofErr w:type="spellStart"/>
      <w:r>
        <w:rPr>
          <w:rFonts w:ascii="Times New Roman" w:eastAsia="Times New Roman" w:hAnsi="Times New Roman"/>
        </w:rPr>
        <w:t>TCM</w:t>
      </w:r>
      <w:r>
        <w:rPr>
          <w:rFonts w:ascii="宋体" w:hAnsi="宋体"/>
        </w:rPr>
        <w:t>”</w:t>
      </w:r>
      <w:r>
        <w:rPr>
          <w:rFonts w:ascii="Times New Roman" w:eastAsia="Times New Roman" w:hAnsi="Times New Roman"/>
        </w:rPr>
        <w:t>is</w:t>
      </w:r>
      <w:proofErr w:type="spellEnd"/>
      <w:r>
        <w:rPr>
          <w:rFonts w:ascii="Times New Roman" w:eastAsia="Times New Roman" w:hAnsi="Times New Roman"/>
        </w:rPr>
        <w:t xml:space="preserve"> its textbook, which is divided into six parts: (1) Introduction, including the nature, context, objective, curriculum evolution and attentions of Comprehensive Experiment of TCM. (2) Topic selection, hypothesis and experimental design, including PBL and critical reading of team learning, and the case-based teaching and the topic selection, hypothesis, experimental design. (3) Experimental preparation and implementation, including the training of experimental techniques, experimental preparation, experimental implementation, and processing and analysis of experimental data. (4) Experimental instruction, including the instruction for the quantitative four diagnoses and syndrome differentiation methods of mice, the instruction for the model replication of blood deficiency syndrome in mice with </w:t>
      </w:r>
      <w:proofErr w:type="spellStart"/>
      <w:r>
        <w:rPr>
          <w:rFonts w:ascii="Times New Roman" w:eastAsia="Times New Roman" w:hAnsi="Times New Roman"/>
        </w:rPr>
        <w:t>acetylphenylhydrazine</w:t>
      </w:r>
      <w:proofErr w:type="spellEnd"/>
      <w:r>
        <w:rPr>
          <w:rFonts w:ascii="Times New Roman" w:eastAsia="Times New Roman" w:hAnsi="Times New Roman"/>
        </w:rPr>
        <w:t xml:space="preserve">, the instruction for the </w:t>
      </w:r>
      <w:proofErr w:type="spellStart"/>
      <w:r>
        <w:rPr>
          <w:rFonts w:ascii="Times New Roman" w:eastAsia="Times New Roman" w:hAnsi="Times New Roman"/>
        </w:rPr>
        <w:t>chinese</w:t>
      </w:r>
      <w:proofErr w:type="spellEnd"/>
      <w:r>
        <w:rPr>
          <w:rFonts w:ascii="Times New Roman" w:eastAsia="Times New Roman" w:hAnsi="Times New Roman"/>
        </w:rPr>
        <w:t xml:space="preserve"> medicine preparation with water-extraction and alcohol-precipitation method, the instruction for the </w:t>
      </w:r>
      <w:proofErr w:type="spellStart"/>
      <w:r>
        <w:rPr>
          <w:rFonts w:ascii="Times New Roman" w:eastAsia="Times New Roman" w:hAnsi="Times New Roman"/>
        </w:rPr>
        <w:t>intragastric</w:t>
      </w:r>
      <w:proofErr w:type="spellEnd"/>
      <w:r>
        <w:rPr>
          <w:rFonts w:ascii="Times New Roman" w:eastAsia="Times New Roman" w:hAnsi="Times New Roman"/>
        </w:rPr>
        <w:t xml:space="preserve"> administration, the instruction for the </w:t>
      </w:r>
      <w:proofErr w:type="spellStart"/>
      <w:r>
        <w:rPr>
          <w:rFonts w:ascii="Times New Roman" w:eastAsia="Times New Roman" w:hAnsi="Times New Roman"/>
        </w:rPr>
        <w:t>hemoglobinometry</w:t>
      </w:r>
      <w:proofErr w:type="spellEnd"/>
      <w:r>
        <w:rPr>
          <w:rFonts w:ascii="Times New Roman" w:eastAsia="Times New Roman" w:hAnsi="Times New Roman"/>
        </w:rPr>
        <w:t>, the instruction for the determination of serum total antioxidant capacity,</w:t>
      </w:r>
    </w:p>
    <w:p w:rsidR="009A17AF" w:rsidRDefault="009A17AF" w:rsidP="009A17AF">
      <w:pPr>
        <w:ind w:right="100"/>
        <w:jc w:val="left"/>
        <w:rPr>
          <w:rFonts w:ascii="Times New Roman" w:eastAsia="Times New Roman" w:hAnsi="Times New Roman"/>
        </w:rPr>
      </w:pPr>
      <w:proofErr w:type="gramStart"/>
      <w:r>
        <w:rPr>
          <w:rFonts w:ascii="Times New Roman" w:eastAsia="Times New Roman" w:hAnsi="Times New Roman"/>
        </w:rPr>
        <w:t>the</w:t>
      </w:r>
      <w:proofErr w:type="gramEnd"/>
      <w:r>
        <w:rPr>
          <w:rFonts w:ascii="Times New Roman" w:eastAsia="Times New Roman" w:hAnsi="Times New Roman"/>
        </w:rPr>
        <w:t xml:space="preserve"> instruction for the real-time fluorescent quantitative PCR of kidney EPO, the instruction for the bone marrow smear and blood smear making, the instruction for the making and reading of pathological tissue section. (5) Presentation of the experimental results and simulation reply. (6) Writing test report, and the appendix.</w:t>
      </w:r>
    </w:p>
    <w:p w:rsidR="009A17AF" w:rsidRDefault="009A17AF" w:rsidP="009A17AF">
      <w:pPr>
        <w:ind w:right="100" w:firstLine="425"/>
        <w:jc w:val="left"/>
        <w:rPr>
          <w:rFonts w:ascii="Times New Roman" w:eastAsia="Times New Roman" w:hAnsi="Times New Roman"/>
        </w:rPr>
      </w:pPr>
      <w:r>
        <w:rPr>
          <w:rFonts w:ascii="Times New Roman" w:eastAsia="Times New Roman" w:hAnsi="Times New Roman"/>
        </w:rPr>
        <w:t xml:space="preserve">The main objects of this course are students from TCM basic theory specialty and clinical eight-year program. </w:t>
      </w:r>
      <w:proofErr w:type="gramStart"/>
      <w:r>
        <w:rPr>
          <w:rFonts w:ascii="Times New Roman" w:eastAsia="Times New Roman" w:hAnsi="Times New Roman"/>
        </w:rPr>
        <w:t xml:space="preserve">It </w:t>
      </w:r>
      <w:proofErr w:type="spellStart"/>
      <w:r>
        <w:rPr>
          <w:rFonts w:ascii="Times New Roman" w:eastAsia="Times New Roman" w:hAnsi="Times New Roman"/>
        </w:rPr>
        <w:t>aslo</w:t>
      </w:r>
      <w:proofErr w:type="spellEnd"/>
      <w:r>
        <w:rPr>
          <w:rFonts w:ascii="Times New Roman" w:eastAsia="Times New Roman" w:hAnsi="Times New Roman"/>
        </w:rPr>
        <w:t xml:space="preserve"> suitable for other students who take it as an elective course or a minor </w:t>
      </w:r>
      <w:r>
        <w:rPr>
          <w:rFonts w:ascii="Times New Roman" w:eastAsia="Times New Roman" w:hAnsi="Times New Roman"/>
        </w:rPr>
        <w:lastRenderedPageBreak/>
        <w:t>course.</w:t>
      </w:r>
      <w:proofErr w:type="gramEnd"/>
    </w:p>
    <w:p w:rsidR="009A17AF" w:rsidRPr="009A17AF" w:rsidRDefault="009A17AF" w:rsidP="009A17AF">
      <w:pPr>
        <w:jc w:val="center"/>
        <w:rPr>
          <w:b/>
          <w:sz w:val="28"/>
          <w:szCs w:val="28"/>
        </w:rPr>
      </w:pPr>
    </w:p>
    <w:sectPr w:rsidR="009A17AF" w:rsidRPr="009A17AF"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067" w:rsidRDefault="00A47067" w:rsidP="009A17AF">
      <w:r>
        <w:separator/>
      </w:r>
    </w:p>
  </w:endnote>
  <w:endnote w:type="continuationSeparator" w:id="0">
    <w:p w:rsidR="00A47067" w:rsidRDefault="00A47067" w:rsidP="009A17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067" w:rsidRDefault="00A47067" w:rsidP="009A17AF">
      <w:r>
        <w:separator/>
      </w:r>
    </w:p>
  </w:footnote>
  <w:footnote w:type="continuationSeparator" w:id="0">
    <w:p w:rsidR="00A47067" w:rsidRDefault="00A47067" w:rsidP="009A17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7AF"/>
    <w:rsid w:val="00237548"/>
    <w:rsid w:val="003C38A9"/>
    <w:rsid w:val="005D535A"/>
    <w:rsid w:val="0060429F"/>
    <w:rsid w:val="009A17AF"/>
    <w:rsid w:val="00A47067"/>
    <w:rsid w:val="00AA6918"/>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17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17AF"/>
    <w:rPr>
      <w:sz w:val="18"/>
      <w:szCs w:val="18"/>
    </w:rPr>
  </w:style>
  <w:style w:type="paragraph" w:styleId="a4">
    <w:name w:val="footer"/>
    <w:basedOn w:val="a"/>
    <w:link w:val="Char0"/>
    <w:uiPriority w:val="99"/>
    <w:semiHidden/>
    <w:unhideWhenUsed/>
    <w:rsid w:val="009A17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17A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2245</Characters>
  <Application>Microsoft Office Word</Application>
  <DocSecurity>0</DocSecurity>
  <Lines>18</Lines>
  <Paragraphs>5</Paragraphs>
  <ScaleCrop>false</ScaleCrop>
  <Company>Sky123.Org</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2018-11-28T06:59:00Z</dcterms:created>
  <dcterms:modified xsi:type="dcterms:W3CDTF">2018-11-28T07:00:00Z</dcterms:modified>
</cp:coreProperties>
</file>